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5667" w14:textId="6241A65E" w:rsidR="002342B0" w:rsidRPr="002342B0" w:rsidRDefault="002342B0" w:rsidP="002342B0">
      <w:pPr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（様式１０）</w:t>
      </w:r>
    </w:p>
    <w:p w14:paraId="06AC9D24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27151AF6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6FB821A3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p w14:paraId="05EF54FE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取得財産等管理台帳</w:t>
      </w:r>
    </w:p>
    <w:p w14:paraId="499C419B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0A8DAD08" w14:textId="77777777" w:rsidR="002342B0" w:rsidRPr="002342B0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2342B0">
        <w:rPr>
          <w:rFonts w:ascii="ＭＳ Ｐゴシック" w:eastAsia="ＭＳ Ｐゴシック" w:hAnsi="ＭＳ Ｐゴシック" w:hint="eastAsia"/>
          <w:szCs w:val="21"/>
          <w:u w:val="single"/>
        </w:rPr>
        <w:t xml:space="preserve">事業者名：　　　　　　　　</w:t>
      </w:r>
    </w:p>
    <w:p w14:paraId="7833B796" w14:textId="77777777" w:rsidR="002342B0" w:rsidRPr="002342B0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  <w:r w:rsidRPr="002342B0">
        <w:rPr>
          <w:rFonts w:ascii="ＭＳ Ｐゴシック" w:eastAsia="ＭＳ Ｐゴシック" w:hAnsi="ＭＳ Ｐゴシック" w:hint="eastAsia"/>
          <w:szCs w:val="21"/>
          <w:u w:val="single"/>
          <w:lang w:eastAsia="zh-CN"/>
        </w:rPr>
        <w:t xml:space="preserve">番　　号：　　　　　　　　</w:t>
      </w:r>
    </w:p>
    <w:p w14:paraId="7316F1B8" w14:textId="77777777" w:rsidR="002342B0" w:rsidRPr="002342B0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szCs w:val="21"/>
          <w:u w:val="single"/>
          <w:lang w:eastAsia="zh-CN"/>
        </w:rPr>
      </w:pPr>
    </w:p>
    <w:p w14:paraId="52442657" w14:textId="77777777" w:rsidR="002342B0" w:rsidRPr="002342B0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2342B0" w:rsidRPr="002342B0" w14:paraId="00AE45D1" w14:textId="77777777" w:rsidTr="00164743">
        <w:tc>
          <w:tcPr>
            <w:tcW w:w="1194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FB33F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区分</w:t>
            </w:r>
          </w:p>
          <w:p w14:paraId="0D0C30F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  <w:p w14:paraId="27BFF6C2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財産名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A6A47B2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規格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A4D3BA0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数量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FF5394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単価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DA40016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A41FFE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取得</w:t>
            </w:r>
          </w:p>
          <w:p w14:paraId="3E6BF823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年月日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F1B3EA4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保管場所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33EF0F1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  <w:r w:rsidRPr="002342B0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Cs w:val="21"/>
              </w:rPr>
              <w:t>備考</w:t>
            </w:r>
          </w:p>
        </w:tc>
      </w:tr>
      <w:tr w:rsidR="002342B0" w:rsidRPr="002342B0" w14:paraId="58D41127" w14:textId="77777777" w:rsidTr="00164743">
        <w:trPr>
          <w:trHeight w:val="1859"/>
        </w:trPr>
        <w:tc>
          <w:tcPr>
            <w:tcW w:w="1194" w:type="dxa"/>
            <w:shd w:val="clear" w:color="auto" w:fill="auto"/>
          </w:tcPr>
          <w:p w14:paraId="38B9047F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2CEE3E00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ACD5E57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3A90F5D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7BF41DE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F4ECEBF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5D5E3AD8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30458EC" w14:textId="77777777" w:rsidR="002342B0" w:rsidRPr="002342B0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spacing w:val="2"/>
                <w:kern w:val="0"/>
                <w:szCs w:val="21"/>
              </w:rPr>
            </w:pPr>
          </w:p>
        </w:tc>
      </w:tr>
    </w:tbl>
    <w:p w14:paraId="5AA2E09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（注）</w:t>
      </w:r>
    </w:p>
    <w:p w14:paraId="358E95B0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１．対象となる取得財産等は、取得価格または効用の増加価格が</w:t>
      </w: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交付要領第２１条第１項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に定める財産とする。</w:t>
      </w:r>
    </w:p>
    <w:p w14:paraId="3A114772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２．数量は、同一規格であれば一括して記載して差し支えない。ただし、単価が異なる場合には区分して記載のこと。</w:t>
      </w:r>
    </w:p>
    <w:p w14:paraId="43EEB75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３．取得年月日は、検査を行う場合は検収年月日を記載のこと。</w:t>
      </w:r>
    </w:p>
    <w:p w14:paraId="3A4C6EF6" w14:textId="5EBD59C9" w:rsidR="002342B0" w:rsidRPr="002342B0" w:rsidRDefault="002342B0" w:rsidP="00B16AC8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４．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「自動車等車両」（道路運送車両法第２条第２項に定める「自動車」および同条第３項に定める「原動機付自転車」）については、別に「車両運行日誌」を整備すること。</w:t>
      </w:r>
    </w:p>
    <w:sectPr w:rsidR="002342B0" w:rsidRPr="002342B0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16AC8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2022-08-10T01:30:00Z</dcterms:created>
  <dcterms:modified xsi:type="dcterms:W3CDTF">2022-08-10T01:30:00Z</dcterms:modified>
</cp:coreProperties>
</file>